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8" w:rsidRPr="00AB523F" w:rsidRDefault="00206B98" w:rsidP="00206B9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0" w:name="_Toc320543639"/>
      <w:r w:rsidRPr="00AB523F">
        <w:rPr>
          <w:rFonts w:ascii="Times New Roman" w:hAnsi="Times New Roman" w:cs="Times New Roman"/>
          <w:sz w:val="22"/>
          <w:szCs w:val="22"/>
        </w:rPr>
        <w:t>Примітка. Потенційні зобов'язання банку.</w:t>
      </w:r>
      <w:bookmarkEnd w:id="0"/>
    </w:p>
    <w:p w:rsidR="00EB013C" w:rsidRPr="00AB523F" w:rsidRDefault="00EB013C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AB523F">
        <w:rPr>
          <w:rFonts w:ascii="Times New Roman" w:hAnsi="Times New Roman"/>
          <w:b/>
          <w:i/>
          <w:sz w:val="22"/>
          <w:szCs w:val="22"/>
        </w:rPr>
        <w:t>Судові процедури</w:t>
      </w:r>
      <w:r w:rsidRPr="00AB523F">
        <w:rPr>
          <w:rFonts w:ascii="Times New Roman" w:hAnsi="Times New Roman"/>
          <w:b/>
          <w:sz w:val="22"/>
          <w:szCs w:val="22"/>
        </w:rPr>
        <w:t xml:space="preserve">. </w:t>
      </w:r>
    </w:p>
    <w:p w:rsidR="000E6F6A" w:rsidRPr="00AB523F" w:rsidRDefault="000E6F6A" w:rsidP="000E6F6A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В ході поточної діяльності Банк час від часу одержує претензії. Виходячи з власної оцінки та внутрішніх професійних консультацій, керівництво Банку вважає, що банк не зазнає суттєвих не нарахованих збитків у результаті судових позовів. Таким чином, у цій фінансовій звітності відповідний резерв не створювався.</w:t>
      </w:r>
    </w:p>
    <w:p w:rsidR="000E6F6A" w:rsidRPr="00AB523F" w:rsidRDefault="000E6F6A" w:rsidP="000E6F6A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Банк вважає, непередбаченими судові витрати, які можуть бути понесені Банком при наданні позовів до суду щодо повернення прострочених активів клієнтами. Під такі активи Банком повністю формується резерви і витрати можуть бути компенсовані при позитивному рішенні суду на користь Банку.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AB523F">
        <w:rPr>
          <w:rFonts w:ascii="Times New Roman" w:hAnsi="Times New Roman"/>
          <w:b/>
          <w:i/>
          <w:sz w:val="22"/>
          <w:szCs w:val="22"/>
        </w:rPr>
        <w:t>Податкове законодавство</w:t>
      </w:r>
      <w:r w:rsidRPr="00AB523F">
        <w:rPr>
          <w:rFonts w:ascii="Times New Roman" w:hAnsi="Times New Roman"/>
          <w:b/>
          <w:sz w:val="22"/>
          <w:szCs w:val="22"/>
        </w:rPr>
        <w:t xml:space="preserve">. 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Деякі норми податкового законодавства України можуть тлумачитись по-різному й змінюватись. Відповідні органи можуть не погодитися з тлумаченням цього законодавства керівництвом у зв'язку з діяльністю Банку та операціями в рамках цієї діяльності. Податкові органи можуть займати більш жорстку позицію у своєму тлумаченні законодавства та податкових розрахунків, тому існує можливість, що операції та діяльність, які раніше не заперечувались, можуть бути оскарженими.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У результаті можуть бути нараховані додаткові суми податків, штрафів та пені. Податкові органи можуть перевіряти дотримання норм податкового законодавства у фінансових періодах протягом трьох календарних років після їх закінчення. За певних обставин перевірка може стосуватись довших періодів.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i/>
          <w:sz w:val="22"/>
          <w:szCs w:val="22"/>
        </w:rPr>
      </w:pPr>
      <w:r w:rsidRPr="00AB523F">
        <w:rPr>
          <w:rFonts w:ascii="Times New Roman" w:hAnsi="Times New Roman"/>
          <w:b/>
          <w:i/>
          <w:sz w:val="22"/>
          <w:szCs w:val="22"/>
        </w:rPr>
        <w:t xml:space="preserve">Зобов'язання з капітальних вкладень. 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 xml:space="preserve">Станом на </w:t>
      </w:r>
      <w:r w:rsidR="005E237C" w:rsidRPr="00AB523F">
        <w:rPr>
          <w:rFonts w:ascii="Times New Roman" w:hAnsi="Times New Roman"/>
          <w:sz w:val="22"/>
          <w:szCs w:val="22"/>
        </w:rPr>
        <w:t>1</w:t>
      </w:r>
      <w:r w:rsidRPr="00AB523F">
        <w:rPr>
          <w:rFonts w:ascii="Times New Roman" w:hAnsi="Times New Roman"/>
          <w:sz w:val="22"/>
          <w:szCs w:val="22"/>
        </w:rPr>
        <w:t xml:space="preserve"> </w:t>
      </w:r>
      <w:r w:rsidR="00785C19" w:rsidRPr="00AB523F">
        <w:rPr>
          <w:rFonts w:ascii="Times New Roman" w:hAnsi="Times New Roman"/>
          <w:sz w:val="22"/>
          <w:szCs w:val="22"/>
        </w:rPr>
        <w:t>січня</w:t>
      </w:r>
      <w:r w:rsidRPr="00AB523F">
        <w:rPr>
          <w:rFonts w:ascii="Times New Roman" w:hAnsi="Times New Roman"/>
          <w:sz w:val="22"/>
          <w:szCs w:val="22"/>
        </w:rPr>
        <w:t xml:space="preserve"> 201</w:t>
      </w:r>
      <w:r w:rsidR="00FF29A1" w:rsidRPr="00AB523F">
        <w:rPr>
          <w:rFonts w:ascii="Times New Roman" w:hAnsi="Times New Roman"/>
          <w:sz w:val="22"/>
          <w:szCs w:val="22"/>
        </w:rPr>
        <w:t>5</w:t>
      </w:r>
      <w:r w:rsidRPr="00AB523F">
        <w:rPr>
          <w:rFonts w:ascii="Times New Roman" w:hAnsi="Times New Roman"/>
          <w:sz w:val="22"/>
          <w:szCs w:val="22"/>
        </w:rPr>
        <w:t xml:space="preserve"> року та </w:t>
      </w:r>
      <w:r w:rsidR="00CF3DBE" w:rsidRPr="00AB523F">
        <w:rPr>
          <w:rFonts w:ascii="Times New Roman" w:hAnsi="Times New Roman"/>
          <w:sz w:val="22"/>
          <w:szCs w:val="22"/>
        </w:rPr>
        <w:t xml:space="preserve">1 </w:t>
      </w:r>
      <w:r w:rsidR="006E41F8" w:rsidRPr="00AB523F">
        <w:rPr>
          <w:rFonts w:ascii="Times New Roman" w:hAnsi="Times New Roman"/>
          <w:sz w:val="22"/>
          <w:szCs w:val="22"/>
        </w:rPr>
        <w:t>жовтня</w:t>
      </w:r>
      <w:r w:rsidRPr="00AB523F">
        <w:rPr>
          <w:rFonts w:ascii="Times New Roman" w:hAnsi="Times New Roman"/>
          <w:sz w:val="22"/>
          <w:szCs w:val="22"/>
        </w:rPr>
        <w:t xml:space="preserve"> 201</w:t>
      </w:r>
      <w:r w:rsidR="00D64A8B" w:rsidRPr="00AB523F">
        <w:rPr>
          <w:rFonts w:ascii="Times New Roman" w:hAnsi="Times New Roman"/>
          <w:sz w:val="22"/>
          <w:szCs w:val="22"/>
        </w:rPr>
        <w:t>5</w:t>
      </w:r>
      <w:r w:rsidRPr="00AB523F">
        <w:rPr>
          <w:rFonts w:ascii="Times New Roman" w:hAnsi="Times New Roman"/>
          <w:sz w:val="22"/>
          <w:szCs w:val="22"/>
        </w:rPr>
        <w:t xml:space="preserve"> року Банк не мав контрактних зобов'язань, пов'язаних із придбанням основних засобів та нематеріальних активів. 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i/>
          <w:sz w:val="22"/>
          <w:szCs w:val="22"/>
        </w:rPr>
      </w:pPr>
    </w:p>
    <w:p w:rsidR="00206B98" w:rsidRPr="00AB523F" w:rsidRDefault="00206B98" w:rsidP="00D64A8B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b/>
          <w:i/>
          <w:sz w:val="22"/>
          <w:szCs w:val="22"/>
        </w:rPr>
        <w:t>Зобов'язання оперативного лізингу</w:t>
      </w:r>
      <w:r w:rsidR="00D64A8B" w:rsidRPr="00AB523F">
        <w:rPr>
          <w:rFonts w:ascii="Times New Roman" w:hAnsi="Times New Roman"/>
          <w:b/>
          <w:i/>
          <w:sz w:val="22"/>
          <w:szCs w:val="22"/>
        </w:rPr>
        <w:t xml:space="preserve"> відсутні</w:t>
      </w:r>
      <w:r w:rsidRPr="00AB523F">
        <w:rPr>
          <w:rFonts w:ascii="Times New Roman" w:hAnsi="Times New Roman"/>
          <w:sz w:val="22"/>
          <w:szCs w:val="22"/>
        </w:rPr>
        <w:t xml:space="preserve">. 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i/>
          <w:sz w:val="22"/>
          <w:szCs w:val="22"/>
        </w:rPr>
      </w:pPr>
      <w:r w:rsidRPr="00AB523F">
        <w:rPr>
          <w:rFonts w:ascii="Times New Roman" w:hAnsi="Times New Roman"/>
          <w:b/>
          <w:i/>
          <w:sz w:val="22"/>
          <w:szCs w:val="22"/>
        </w:rPr>
        <w:t xml:space="preserve">Зобов'язання, що пов'язані з кредитуванням. 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Головною метою цих інструментів є забезпечення наявності грошових коштів для задоволення фінансових потреб клієнтів. Гарантії, які являють собою безвідкличні гарантії того, що Банк здійснить платежі на користь третіх сторін у випадку не виконання клієнтами своїх зобов'язань, мають той самий кредитний ризик, що й кредити.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Зобов'язання що пов'язані з кредитуванням включають невикористані суми, призначені для кредитування у формі кредитів та гарантій. Стосовно кредитного ризику за наданими зобов'язаннями з кредитування, невикористаними кредитними лініями та гарантіями Банк наражається на потенційні збитки в загальній сумі невикористаних зобов'язань. Проте можлива сума збитків є меншою за загальну суму невикористаних зобов'язань, оскільки виконання більшості зобов'язань щодо надання кредитів залежить від дотримання клієнтами певних кредитних стандартів.</w:t>
      </w:r>
    </w:p>
    <w:p w:rsidR="00206B98" w:rsidRPr="00AB523F" w:rsidRDefault="00206B98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Банк відстежує строки до погашення зобов'язань, пов'язаних з кредитуванням, оскільки більш довгострокові зобов'язання зазвичай характеризуються вищим кредитним ризиком, ніж короткострокові.</w:t>
      </w:r>
    </w:p>
    <w:p w:rsidR="00206B98" w:rsidRPr="00AB523F" w:rsidRDefault="000E6F6A" w:rsidP="00206B98">
      <w:pPr>
        <w:pStyle w:val="a3"/>
        <w:spacing w:before="6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b/>
          <w:sz w:val="22"/>
          <w:szCs w:val="22"/>
        </w:rPr>
        <w:br w:type="page"/>
      </w:r>
      <w:r w:rsidR="00206B98" w:rsidRPr="00AB523F">
        <w:rPr>
          <w:rFonts w:ascii="Times New Roman" w:hAnsi="Times New Roman"/>
          <w:b/>
          <w:sz w:val="22"/>
          <w:szCs w:val="22"/>
        </w:rPr>
        <w:lastRenderedPageBreak/>
        <w:t>Таблиця</w:t>
      </w:r>
      <w:r w:rsidR="00E94BC2" w:rsidRPr="00AB523F">
        <w:rPr>
          <w:rFonts w:ascii="Times New Roman" w:hAnsi="Times New Roman"/>
          <w:b/>
          <w:sz w:val="22"/>
          <w:szCs w:val="22"/>
        </w:rPr>
        <w:t xml:space="preserve"> </w:t>
      </w:r>
      <w:r w:rsidR="00206B98" w:rsidRPr="00AB523F">
        <w:rPr>
          <w:rFonts w:ascii="Times New Roman" w:hAnsi="Times New Roman"/>
          <w:b/>
          <w:sz w:val="22"/>
          <w:szCs w:val="22"/>
        </w:rPr>
        <w:t>1.</w:t>
      </w:r>
      <w:r w:rsidR="00206B98" w:rsidRPr="00AB523F">
        <w:rPr>
          <w:rFonts w:ascii="Times New Roman" w:hAnsi="Times New Roman"/>
          <w:sz w:val="22"/>
          <w:szCs w:val="22"/>
        </w:rPr>
        <w:t xml:space="preserve"> Структура зобов'язань, що пов'язані з кредитуванням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3720"/>
        <w:gridCol w:w="1260"/>
        <w:gridCol w:w="1988"/>
        <w:gridCol w:w="1991"/>
      </w:tblGrid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Рядок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Найменування статті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Примітки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5450F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</w:t>
            </w:r>
            <w:r w:rsidR="00F5450F" w:rsidRPr="00AB523F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.201</w:t>
            </w:r>
            <w:r w:rsidR="00B74D75" w:rsidRPr="00AB523F">
              <w:rPr>
                <w:rFonts w:ascii="Times New Roman" w:hAnsi="Times New Roman"/>
                <w:sz w:val="22"/>
                <w:szCs w:val="22"/>
              </w:rPr>
              <w:t>5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6B98" w:rsidRPr="00AB523F" w:rsidRDefault="00206B98" w:rsidP="00FF29A1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01.01.201</w:t>
            </w:r>
            <w:r w:rsidR="00FF29A1" w:rsidRPr="00AB52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3 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6B98" w:rsidRPr="00AB523F" w:rsidRDefault="00206B98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5 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Зобов'язання з кредитування, що надані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D123A9" w:rsidRDefault="00971C71" w:rsidP="00EB09BD">
            <w:pPr>
              <w:pStyle w:val="a3"/>
              <w:spacing w:before="60" w:beforeAutospacing="0" w:after="0" w:afterAutospacing="0"/>
              <w:ind w:right="343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23A9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D123A9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bookmarkStart w:id="1" w:name="_GoBack"/>
            <w:bookmarkEnd w:id="1"/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pStyle w:val="a3"/>
              <w:spacing w:before="60" w:beforeAutospacing="0" w:after="0" w:afterAutospacing="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1 322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Невикористані кредитні лінії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971C71" w:rsidP="00F84394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200 520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193 342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3 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Експортні акредитиви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1A19C6" w:rsidP="00F84394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Імпортні акредитиви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1A19C6" w:rsidP="00F84394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Гарантії видані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971C71" w:rsidP="00E94C76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305 349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318 200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6 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Інші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1A19C6" w:rsidP="00F84394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2 780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7 458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7 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Резерв за зобов'язаннями, що пов'язані з кредитуванням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1A19C6" w:rsidP="00971C71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(</w:t>
            </w:r>
            <w:r w:rsidR="00971C71" w:rsidRPr="00AB523F">
              <w:rPr>
                <w:rFonts w:ascii="Times New Roman" w:hAnsi="Times New Roman"/>
                <w:sz w:val="22"/>
                <w:szCs w:val="22"/>
                <w:lang w:val="en-US"/>
              </w:rPr>
              <w:t>2 738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spacing w:before="6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(3 182)</w:t>
            </w:r>
          </w:p>
        </w:tc>
      </w:tr>
      <w:tr w:rsidR="00AB523F" w:rsidRPr="00AB523F" w:rsidTr="00206B98">
        <w:trPr>
          <w:tblCellSpacing w:w="15" w:type="dxa"/>
        </w:trPr>
        <w:tc>
          <w:tcPr>
            <w:tcW w:w="3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8 </w:t>
            </w:r>
          </w:p>
        </w:tc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Усього зобов'язань, що пов'язані з кредитуванням за мінусом резерву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AB523F" w:rsidRDefault="00FF29A1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A1" w:rsidRPr="00EB33DA" w:rsidRDefault="00971C71" w:rsidP="00971C71">
            <w:pPr>
              <w:pStyle w:val="a3"/>
              <w:spacing w:before="60" w:beforeAutospacing="0" w:after="0" w:afterAutospacing="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505 96</w:t>
            </w:r>
            <w:r w:rsidR="00EB33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29A1" w:rsidRPr="00AB523F" w:rsidRDefault="00FF29A1" w:rsidP="00D920F8">
            <w:pPr>
              <w:pStyle w:val="a3"/>
              <w:spacing w:before="60" w:beforeAutospacing="0" w:after="0" w:afterAutospacing="0"/>
              <w:ind w:right="34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517 140</w:t>
            </w:r>
          </w:p>
        </w:tc>
      </w:tr>
    </w:tbl>
    <w:p w:rsidR="00206B98" w:rsidRPr="00AB523F" w:rsidRDefault="00206B98" w:rsidP="00206B98">
      <w:pPr>
        <w:rPr>
          <w:rFonts w:ascii="Times New Roman" w:hAnsi="Times New Roman"/>
          <w:sz w:val="22"/>
          <w:szCs w:val="22"/>
        </w:rPr>
      </w:pPr>
    </w:p>
    <w:p w:rsidR="00646C3F" w:rsidRPr="00AB523F" w:rsidRDefault="00646C3F" w:rsidP="00646C3F">
      <w:pPr>
        <w:pStyle w:val="a3"/>
        <w:spacing w:before="6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AB523F">
        <w:rPr>
          <w:rFonts w:ascii="Times New Roman" w:hAnsi="Times New Roman"/>
          <w:b/>
          <w:sz w:val="22"/>
          <w:szCs w:val="22"/>
        </w:rPr>
        <w:t>Таблиця 2.</w:t>
      </w:r>
      <w:r w:rsidRPr="00AB523F">
        <w:rPr>
          <w:rFonts w:ascii="Times New Roman" w:hAnsi="Times New Roman"/>
          <w:sz w:val="22"/>
          <w:szCs w:val="22"/>
        </w:rPr>
        <w:t xml:space="preserve"> Зобов'язання з кредитування у розрізі валют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9"/>
        <w:gridCol w:w="4360"/>
        <w:gridCol w:w="2246"/>
        <w:gridCol w:w="2264"/>
      </w:tblGrid>
      <w:tr w:rsidR="00AB523F" w:rsidRPr="00AB523F" w:rsidTr="00646C3F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Рядок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Найменування статті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 w:rsidP="00971C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</w:t>
            </w:r>
            <w:r w:rsidR="00971C71" w:rsidRPr="00AB523F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.2015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01.01.2015</w:t>
            </w:r>
          </w:p>
        </w:tc>
      </w:tr>
      <w:tr w:rsidR="00AB523F" w:rsidRPr="00AB523F" w:rsidTr="00646C3F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B523F" w:rsidRPr="00AB523F" w:rsidTr="00EB33DA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Гривня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3F" w:rsidRPr="00AB523F" w:rsidRDefault="00EB33DA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462 297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495 058</w:t>
            </w:r>
          </w:p>
        </w:tc>
      </w:tr>
      <w:tr w:rsidR="00AB523F" w:rsidRPr="00AB523F" w:rsidTr="00EB33DA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2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Долар США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3F" w:rsidRPr="00AB523F" w:rsidRDefault="00EB33DA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36 825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21 933</w:t>
            </w:r>
          </w:p>
        </w:tc>
      </w:tr>
      <w:tr w:rsidR="00AB523F" w:rsidRPr="00AB523F" w:rsidTr="00EB33DA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3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Євро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3F" w:rsidRPr="00AB523F" w:rsidRDefault="00EB33DA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2 677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</w:tr>
      <w:tr w:rsidR="00AB523F" w:rsidRPr="00AB523F" w:rsidTr="00EB33DA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4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Інші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3F" w:rsidRPr="00EB33DA" w:rsidRDefault="00EB33DA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4 163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EB33DA">
        <w:trPr>
          <w:tblCellSpacing w:w="18" w:type="dxa"/>
          <w:jc w:val="right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5 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3F" w:rsidRPr="00EB33DA" w:rsidRDefault="00EB33DA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505 962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C3F" w:rsidRPr="00AB523F" w:rsidRDefault="00646C3F">
            <w:pPr>
              <w:pStyle w:val="a3"/>
              <w:ind w:right="37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517 140</w:t>
            </w:r>
          </w:p>
        </w:tc>
      </w:tr>
    </w:tbl>
    <w:p w:rsidR="00646C3F" w:rsidRPr="00AB523F" w:rsidRDefault="00646C3F" w:rsidP="00206B98">
      <w:pPr>
        <w:rPr>
          <w:rFonts w:ascii="Times New Roman" w:hAnsi="Times New Roman"/>
          <w:sz w:val="22"/>
          <w:szCs w:val="22"/>
        </w:rPr>
      </w:pPr>
    </w:p>
    <w:p w:rsidR="00206B98" w:rsidRPr="00AB523F" w:rsidRDefault="00206B98" w:rsidP="00206B98">
      <w:pPr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 xml:space="preserve"> </w:t>
      </w:r>
      <w:r w:rsidRPr="00AB523F">
        <w:rPr>
          <w:rFonts w:ascii="Times New Roman" w:hAnsi="Times New Roman"/>
          <w:sz w:val="22"/>
          <w:szCs w:val="22"/>
        </w:rPr>
        <w:tab/>
        <w:t xml:space="preserve">Загальна сума заборгованості за зобов'язаннями, пов'язаними з кредитуванням необов'язково являє собою майбутні потреби у грошових коштах, оскільки строк дії таких фінансових інструментів може закінчитися без фінансування. </w:t>
      </w:r>
    </w:p>
    <w:p w:rsidR="00206B98" w:rsidRPr="00AB523F" w:rsidRDefault="00785C19" w:rsidP="00206B98">
      <w:pPr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 xml:space="preserve">Станом на </w:t>
      </w:r>
      <w:r w:rsidR="00206B98" w:rsidRPr="00AB523F">
        <w:rPr>
          <w:rFonts w:ascii="Times New Roman" w:hAnsi="Times New Roman"/>
          <w:sz w:val="22"/>
          <w:szCs w:val="22"/>
        </w:rPr>
        <w:t xml:space="preserve">1 </w:t>
      </w:r>
      <w:r w:rsidRPr="00AB523F">
        <w:rPr>
          <w:rFonts w:ascii="Times New Roman" w:hAnsi="Times New Roman"/>
          <w:sz w:val="22"/>
          <w:szCs w:val="22"/>
        </w:rPr>
        <w:t>січня</w:t>
      </w:r>
      <w:r w:rsidR="00206B98" w:rsidRPr="00AB523F">
        <w:rPr>
          <w:rFonts w:ascii="Times New Roman" w:hAnsi="Times New Roman"/>
          <w:sz w:val="22"/>
          <w:szCs w:val="22"/>
        </w:rPr>
        <w:t xml:space="preserve"> 201</w:t>
      </w:r>
      <w:r w:rsidR="00FF29A1" w:rsidRPr="00AB523F">
        <w:rPr>
          <w:rFonts w:ascii="Times New Roman" w:hAnsi="Times New Roman"/>
          <w:sz w:val="22"/>
          <w:szCs w:val="22"/>
        </w:rPr>
        <w:t>5</w:t>
      </w:r>
      <w:r w:rsidR="00206B98" w:rsidRPr="00AB523F">
        <w:rPr>
          <w:rFonts w:ascii="Times New Roman" w:hAnsi="Times New Roman"/>
          <w:sz w:val="22"/>
          <w:szCs w:val="22"/>
        </w:rPr>
        <w:t xml:space="preserve"> року та </w:t>
      </w:r>
      <w:r w:rsidR="00CF3DBE" w:rsidRPr="00AB523F">
        <w:rPr>
          <w:rFonts w:ascii="Times New Roman" w:hAnsi="Times New Roman"/>
          <w:sz w:val="22"/>
          <w:szCs w:val="22"/>
        </w:rPr>
        <w:t>1</w:t>
      </w:r>
      <w:r w:rsidR="005E237C" w:rsidRPr="00AB523F">
        <w:rPr>
          <w:rFonts w:ascii="Times New Roman" w:hAnsi="Times New Roman"/>
          <w:sz w:val="22"/>
          <w:szCs w:val="22"/>
        </w:rPr>
        <w:t xml:space="preserve"> </w:t>
      </w:r>
      <w:r w:rsidR="00035028">
        <w:rPr>
          <w:rFonts w:ascii="Times New Roman" w:hAnsi="Times New Roman"/>
          <w:sz w:val="22"/>
          <w:szCs w:val="22"/>
        </w:rPr>
        <w:t>жовтня</w:t>
      </w:r>
      <w:r w:rsidR="00206B98" w:rsidRPr="00AB523F">
        <w:rPr>
          <w:rFonts w:ascii="Times New Roman" w:hAnsi="Times New Roman"/>
          <w:sz w:val="22"/>
          <w:szCs w:val="22"/>
        </w:rPr>
        <w:t xml:space="preserve"> 201</w:t>
      </w:r>
      <w:r w:rsidR="003C1F4D" w:rsidRPr="00AB523F">
        <w:rPr>
          <w:rFonts w:ascii="Times New Roman" w:hAnsi="Times New Roman"/>
          <w:sz w:val="22"/>
          <w:szCs w:val="22"/>
        </w:rPr>
        <w:t>5</w:t>
      </w:r>
      <w:r w:rsidR="00206B98" w:rsidRPr="00AB523F">
        <w:rPr>
          <w:rFonts w:ascii="Times New Roman" w:hAnsi="Times New Roman"/>
          <w:sz w:val="22"/>
          <w:szCs w:val="22"/>
        </w:rPr>
        <w:t xml:space="preserve"> року Банк не має частки в зобов'язаннях асоційованих компаній.</w:t>
      </w:r>
    </w:p>
    <w:p w:rsidR="00206B98" w:rsidRPr="00AB523F" w:rsidRDefault="00DA3B82" w:rsidP="00DA3B82">
      <w:pPr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br w:type="page"/>
      </w:r>
      <w:r w:rsidR="00206B98" w:rsidRPr="00AB523F">
        <w:rPr>
          <w:rFonts w:ascii="Times New Roman" w:hAnsi="Times New Roman"/>
          <w:b/>
          <w:sz w:val="22"/>
          <w:szCs w:val="22"/>
        </w:rPr>
        <w:lastRenderedPageBreak/>
        <w:t xml:space="preserve">Таблиця </w:t>
      </w:r>
      <w:r w:rsidR="00053364" w:rsidRPr="00AB523F">
        <w:rPr>
          <w:rFonts w:ascii="Times New Roman" w:hAnsi="Times New Roman"/>
          <w:b/>
          <w:sz w:val="22"/>
          <w:szCs w:val="22"/>
        </w:rPr>
        <w:t>3</w:t>
      </w:r>
      <w:r w:rsidR="00206B98" w:rsidRPr="00AB523F">
        <w:rPr>
          <w:rFonts w:ascii="Times New Roman" w:hAnsi="Times New Roman"/>
          <w:b/>
          <w:sz w:val="22"/>
          <w:szCs w:val="22"/>
        </w:rPr>
        <w:t>.</w:t>
      </w:r>
      <w:r w:rsidR="00206B98" w:rsidRPr="00AB523F">
        <w:rPr>
          <w:rFonts w:ascii="Times New Roman" w:hAnsi="Times New Roman"/>
          <w:sz w:val="22"/>
          <w:szCs w:val="22"/>
        </w:rPr>
        <w:t xml:space="preserve"> Активи, надані в заставу </w:t>
      </w:r>
    </w:p>
    <w:tbl>
      <w:tblPr>
        <w:tblW w:w="501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"/>
        <w:gridCol w:w="2596"/>
        <w:gridCol w:w="1605"/>
        <w:gridCol w:w="1634"/>
        <w:gridCol w:w="1605"/>
        <w:gridCol w:w="1634"/>
      </w:tblGrid>
      <w:tr w:rsidR="00AB523F" w:rsidRPr="00AB523F" w:rsidTr="00053364">
        <w:trPr>
          <w:tblCellSpacing w:w="15" w:type="dxa"/>
        </w:trPr>
        <w:tc>
          <w:tcPr>
            <w:tcW w:w="3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Рядок 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Найменування статті </w:t>
            </w:r>
          </w:p>
        </w:tc>
        <w:tc>
          <w:tcPr>
            <w:tcW w:w="1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5450F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</w:t>
            </w:r>
            <w:r w:rsidR="00F5450F" w:rsidRPr="00AB523F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.201</w:t>
            </w:r>
            <w:r w:rsidR="008E0B1B" w:rsidRPr="00AB523F">
              <w:rPr>
                <w:rFonts w:ascii="Times New Roman" w:hAnsi="Times New Roman"/>
                <w:sz w:val="22"/>
                <w:szCs w:val="22"/>
              </w:rPr>
              <w:t>5</w:t>
            </w:r>
            <w:r w:rsidRPr="00AB523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F29A1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01.01.201</w:t>
            </w:r>
            <w:r w:rsidR="00FF29A1" w:rsidRPr="00AB52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66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активи, надані в заставу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забезпечене зобов'язання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активи, надані в заставу 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забезпечене зобов'язання 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6 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7 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Торгові цінні папери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2 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Цінні папери в портфелі банку на продаж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3 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Цінні папери в портфелі банку до погашення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4 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Інвестиційна нерухомість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5 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Основні засоби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8E30A9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661E63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661E63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6 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Інші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5450F" w:rsidP="002F6BCF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431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5450F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431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F29A1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135 936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FF29A1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135 470</w:t>
            </w:r>
          </w:p>
        </w:tc>
      </w:tr>
      <w:tr w:rsidR="00AB523F" w:rsidRPr="00AB523F" w:rsidTr="00053364">
        <w:trPr>
          <w:tblCellSpacing w:w="15" w:type="dxa"/>
        </w:trPr>
        <w:tc>
          <w:tcPr>
            <w:tcW w:w="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7 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053364" w:rsidP="00F84394">
            <w:pPr>
              <w:pStyle w:val="a3"/>
              <w:spacing w:before="6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Усього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5450F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431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5450F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523F">
              <w:rPr>
                <w:rFonts w:ascii="Times New Roman" w:hAnsi="Times New Roman"/>
                <w:sz w:val="22"/>
                <w:szCs w:val="22"/>
                <w:lang w:val="en-US"/>
              </w:rPr>
              <w:t>431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364" w:rsidRPr="00AB523F" w:rsidRDefault="00FF29A1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135 936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3364" w:rsidRPr="00AB523F" w:rsidRDefault="00FF29A1" w:rsidP="00F84394">
            <w:pPr>
              <w:pStyle w:val="a3"/>
              <w:spacing w:before="60" w:beforeAutospacing="0" w:after="0" w:afterAutospacing="0"/>
              <w:ind w:right="19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135 470</w:t>
            </w:r>
          </w:p>
        </w:tc>
      </w:tr>
    </w:tbl>
    <w:p w:rsidR="00053364" w:rsidRPr="00AB523F" w:rsidRDefault="00053364" w:rsidP="00053364">
      <w:pPr>
        <w:jc w:val="both"/>
        <w:rPr>
          <w:rFonts w:ascii="Times New Roman" w:hAnsi="Times New Roman"/>
          <w:sz w:val="22"/>
          <w:szCs w:val="22"/>
        </w:rPr>
      </w:pPr>
    </w:p>
    <w:p w:rsidR="00206B98" w:rsidRPr="00AB523F" w:rsidRDefault="00206B98" w:rsidP="00206B9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 xml:space="preserve">Станом на </w:t>
      </w:r>
      <w:r w:rsidR="00CB093F" w:rsidRPr="00AB523F">
        <w:rPr>
          <w:rFonts w:ascii="Times New Roman" w:hAnsi="Times New Roman"/>
          <w:sz w:val="22"/>
          <w:szCs w:val="22"/>
        </w:rPr>
        <w:t>0</w:t>
      </w:r>
      <w:r w:rsidR="00B850FE" w:rsidRPr="00AB523F">
        <w:rPr>
          <w:rFonts w:ascii="Times New Roman" w:hAnsi="Times New Roman"/>
          <w:sz w:val="22"/>
          <w:szCs w:val="22"/>
        </w:rPr>
        <w:t>1</w:t>
      </w:r>
      <w:r w:rsidRPr="00AB523F">
        <w:rPr>
          <w:rFonts w:ascii="Times New Roman" w:hAnsi="Times New Roman"/>
          <w:sz w:val="22"/>
          <w:szCs w:val="22"/>
        </w:rPr>
        <w:t>.</w:t>
      </w:r>
      <w:r w:rsidR="00931152" w:rsidRPr="00AB523F">
        <w:rPr>
          <w:rFonts w:ascii="Times New Roman" w:hAnsi="Times New Roman"/>
          <w:sz w:val="22"/>
          <w:szCs w:val="22"/>
        </w:rPr>
        <w:t>10</w:t>
      </w:r>
      <w:r w:rsidRPr="00AB523F">
        <w:rPr>
          <w:rFonts w:ascii="Times New Roman" w:hAnsi="Times New Roman"/>
          <w:sz w:val="22"/>
          <w:szCs w:val="22"/>
        </w:rPr>
        <w:t>.201</w:t>
      </w:r>
      <w:r w:rsidR="008E0B1B" w:rsidRPr="00AB523F">
        <w:rPr>
          <w:rFonts w:ascii="Times New Roman" w:hAnsi="Times New Roman"/>
          <w:sz w:val="22"/>
          <w:szCs w:val="22"/>
        </w:rPr>
        <w:t>5</w:t>
      </w:r>
      <w:r w:rsidR="00EB013C" w:rsidRPr="00AB523F">
        <w:rPr>
          <w:rFonts w:ascii="Times New Roman" w:hAnsi="Times New Roman"/>
          <w:sz w:val="22"/>
          <w:szCs w:val="22"/>
        </w:rPr>
        <w:t xml:space="preserve"> </w:t>
      </w:r>
      <w:r w:rsidRPr="00AB523F">
        <w:rPr>
          <w:rFonts w:ascii="Times New Roman" w:hAnsi="Times New Roman"/>
          <w:sz w:val="22"/>
          <w:szCs w:val="22"/>
        </w:rPr>
        <w:t>р</w:t>
      </w:r>
      <w:r w:rsidR="00EB013C" w:rsidRPr="00AB523F">
        <w:rPr>
          <w:rFonts w:ascii="Times New Roman" w:hAnsi="Times New Roman"/>
          <w:sz w:val="22"/>
          <w:szCs w:val="22"/>
        </w:rPr>
        <w:t>оку</w:t>
      </w:r>
      <w:r w:rsidRPr="00AB523F">
        <w:rPr>
          <w:rFonts w:ascii="Times New Roman" w:hAnsi="Times New Roman"/>
          <w:sz w:val="22"/>
          <w:szCs w:val="22"/>
        </w:rPr>
        <w:t xml:space="preserve"> </w:t>
      </w:r>
      <w:r w:rsidR="00A3492E" w:rsidRPr="00AB523F">
        <w:rPr>
          <w:rFonts w:ascii="Times New Roman" w:hAnsi="Times New Roman"/>
          <w:sz w:val="22"/>
          <w:szCs w:val="22"/>
        </w:rPr>
        <w:t>а</w:t>
      </w:r>
      <w:r w:rsidRPr="00AB523F">
        <w:rPr>
          <w:rFonts w:ascii="Times New Roman" w:hAnsi="Times New Roman"/>
          <w:sz w:val="22"/>
          <w:szCs w:val="22"/>
        </w:rPr>
        <w:t>ктиви у заставі, щодо яких передбачені обмеження, пов’язані з володінням та користуванням – відсутні.</w:t>
      </w:r>
    </w:p>
    <w:p w:rsidR="00F22423" w:rsidRPr="00AB523F" w:rsidRDefault="00F22423" w:rsidP="00F2242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eastAsia="uk-UA"/>
        </w:rPr>
      </w:pPr>
    </w:p>
    <w:p w:rsidR="00FF29A1" w:rsidRPr="00AB523F" w:rsidRDefault="00FF29A1" w:rsidP="00F2242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eastAsia="uk-UA"/>
        </w:rPr>
      </w:pPr>
    </w:p>
    <w:p w:rsidR="00182513" w:rsidRPr="00AB523F" w:rsidRDefault="00182513" w:rsidP="001825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AB523F">
        <w:rPr>
          <w:rFonts w:ascii="Times New Roman" w:hAnsi="Times New Roman"/>
          <w:sz w:val="22"/>
          <w:szCs w:val="22"/>
        </w:rPr>
        <w:t>Затверджено до випуску та підписано</w:t>
      </w:r>
    </w:p>
    <w:p w:rsidR="00931152" w:rsidRPr="00AB523F" w:rsidRDefault="00931152" w:rsidP="001825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tbl>
      <w:tblPr>
        <w:tblW w:w="9743" w:type="dxa"/>
        <w:jc w:val="center"/>
        <w:tblCellSpacing w:w="18" w:type="dxa"/>
        <w:tblInd w:w="107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46"/>
        <w:gridCol w:w="6997"/>
      </w:tblGrid>
      <w:tr w:rsidR="00AB523F" w:rsidRPr="00AB523F" w:rsidTr="00DF54CF">
        <w:trPr>
          <w:tblCellSpacing w:w="18" w:type="dxa"/>
          <w:jc w:val="center"/>
        </w:trPr>
        <w:tc>
          <w:tcPr>
            <w:tcW w:w="1382" w:type="pct"/>
          </w:tcPr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"_15_" жовтня 2015 року</w:t>
            </w:r>
          </w:p>
        </w:tc>
        <w:tc>
          <w:tcPr>
            <w:tcW w:w="3563" w:type="pct"/>
          </w:tcPr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Уповноважена особа Фонду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гарантування вкладів фізичних осіб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на здійснення тимчасової адміністрації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ПАТ Банк "Контракт _______________________________ В.М. Шкурко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523F" w:rsidRPr="00AB523F" w:rsidTr="00DF54CF">
        <w:trPr>
          <w:tblCellSpacing w:w="18" w:type="dxa"/>
          <w:jc w:val="center"/>
        </w:trPr>
        <w:tc>
          <w:tcPr>
            <w:tcW w:w="1382" w:type="pct"/>
          </w:tcPr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Бєльський Л.О.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тел. (044) 537-62-88</w:t>
            </w:r>
          </w:p>
        </w:tc>
        <w:tc>
          <w:tcPr>
            <w:tcW w:w="3563" w:type="pct"/>
            <w:hideMark/>
          </w:tcPr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Головний бухгалтер ______________________________А.П. Лаврінчук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AB523F">
              <w:rPr>
                <w:rFonts w:ascii="Times New Roman" w:hAnsi="Times New Roman"/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931152" w:rsidRPr="00AB523F" w:rsidRDefault="00931152" w:rsidP="00DF54C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31152" w:rsidRPr="00AB523F" w:rsidRDefault="00931152" w:rsidP="001825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sectPr w:rsidR="00931152" w:rsidRPr="00AB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E"/>
    <w:rsid w:val="00035028"/>
    <w:rsid w:val="00053364"/>
    <w:rsid w:val="00062A38"/>
    <w:rsid w:val="000E6F6A"/>
    <w:rsid w:val="00182513"/>
    <w:rsid w:val="00186B97"/>
    <w:rsid w:val="001A19C6"/>
    <w:rsid w:val="002024D1"/>
    <w:rsid w:val="00206B98"/>
    <w:rsid w:val="00215A8A"/>
    <w:rsid w:val="00224AD7"/>
    <w:rsid w:val="00234157"/>
    <w:rsid w:val="0023646D"/>
    <w:rsid w:val="002549AF"/>
    <w:rsid w:val="00267971"/>
    <w:rsid w:val="0029113F"/>
    <w:rsid w:val="002A58B6"/>
    <w:rsid w:val="002B7B93"/>
    <w:rsid w:val="002F6BCF"/>
    <w:rsid w:val="00312FBD"/>
    <w:rsid w:val="0034434F"/>
    <w:rsid w:val="003A68B9"/>
    <w:rsid w:val="003C1F4D"/>
    <w:rsid w:val="003D38F1"/>
    <w:rsid w:val="0044566C"/>
    <w:rsid w:val="00486610"/>
    <w:rsid w:val="004C52D8"/>
    <w:rsid w:val="004E5319"/>
    <w:rsid w:val="005008D5"/>
    <w:rsid w:val="005D34F2"/>
    <w:rsid w:val="005E237C"/>
    <w:rsid w:val="00646C3F"/>
    <w:rsid w:val="00661E63"/>
    <w:rsid w:val="00664845"/>
    <w:rsid w:val="006A5400"/>
    <w:rsid w:val="006C1BBC"/>
    <w:rsid w:val="006C1CB7"/>
    <w:rsid w:val="006E41F8"/>
    <w:rsid w:val="006F118E"/>
    <w:rsid w:val="0073056E"/>
    <w:rsid w:val="00785C19"/>
    <w:rsid w:val="00787C5C"/>
    <w:rsid w:val="00791B24"/>
    <w:rsid w:val="0085592C"/>
    <w:rsid w:val="0085782E"/>
    <w:rsid w:val="0088419D"/>
    <w:rsid w:val="008C092D"/>
    <w:rsid w:val="008D795F"/>
    <w:rsid w:val="008E0B1B"/>
    <w:rsid w:val="008E30A9"/>
    <w:rsid w:val="008E7E1E"/>
    <w:rsid w:val="00920461"/>
    <w:rsid w:val="00931152"/>
    <w:rsid w:val="00935C3E"/>
    <w:rsid w:val="00971C71"/>
    <w:rsid w:val="009A6D48"/>
    <w:rsid w:val="009C144E"/>
    <w:rsid w:val="00A3492E"/>
    <w:rsid w:val="00A35F0A"/>
    <w:rsid w:val="00A80144"/>
    <w:rsid w:val="00A93174"/>
    <w:rsid w:val="00AB523F"/>
    <w:rsid w:val="00AF7C25"/>
    <w:rsid w:val="00B74D75"/>
    <w:rsid w:val="00B850FE"/>
    <w:rsid w:val="00B96B16"/>
    <w:rsid w:val="00BA4B73"/>
    <w:rsid w:val="00C17747"/>
    <w:rsid w:val="00C220BD"/>
    <w:rsid w:val="00CB093F"/>
    <w:rsid w:val="00CF3DBE"/>
    <w:rsid w:val="00CF645B"/>
    <w:rsid w:val="00D123A9"/>
    <w:rsid w:val="00D64A8B"/>
    <w:rsid w:val="00D65C2A"/>
    <w:rsid w:val="00D920F8"/>
    <w:rsid w:val="00DA3B82"/>
    <w:rsid w:val="00E12756"/>
    <w:rsid w:val="00E454FC"/>
    <w:rsid w:val="00E94BC2"/>
    <w:rsid w:val="00E94C76"/>
    <w:rsid w:val="00EA3257"/>
    <w:rsid w:val="00EB013C"/>
    <w:rsid w:val="00EB09BD"/>
    <w:rsid w:val="00EB33DA"/>
    <w:rsid w:val="00EE4BA5"/>
    <w:rsid w:val="00EE4E66"/>
    <w:rsid w:val="00F00C6E"/>
    <w:rsid w:val="00F22423"/>
    <w:rsid w:val="00F47C02"/>
    <w:rsid w:val="00F5450F"/>
    <w:rsid w:val="00F621FE"/>
    <w:rsid w:val="00F84346"/>
    <w:rsid w:val="00F84394"/>
    <w:rsid w:val="00F93750"/>
    <w:rsid w:val="00FB62B4"/>
    <w:rsid w:val="00FC68D4"/>
    <w:rsid w:val="00FE3405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98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06B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Default">
    <w:name w:val="Default"/>
    <w:rsid w:val="00206B98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206B98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4">
    <w:name w:val="Balloon Text"/>
    <w:basedOn w:val="a"/>
    <w:semiHidden/>
    <w:rsid w:val="00DA3B82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a"/>
    <w:rsid w:val="000E6F6A"/>
    <w:pPr>
      <w:autoSpaceDE w:val="0"/>
      <w:autoSpaceDN w:val="0"/>
    </w:pPr>
    <w:rPr>
      <w:rFonts w:ascii="Times New Roman" w:hAnsi="Times New Roman"/>
      <w:color w:val="000000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98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06B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Default">
    <w:name w:val="Default"/>
    <w:rsid w:val="00206B98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206B98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4">
    <w:name w:val="Balloon Text"/>
    <w:basedOn w:val="a"/>
    <w:semiHidden/>
    <w:rsid w:val="00DA3B82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a"/>
    <w:rsid w:val="000E6F6A"/>
    <w:pPr>
      <w:autoSpaceDE w:val="0"/>
      <w:autoSpaceDN w:val="0"/>
    </w:pPr>
    <w:rPr>
      <w:rFonts w:ascii="Times New Roman" w:hAnsi="Times New Roman"/>
      <w:color w:val="000000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8660-1449-43C7-9DD6-906EA187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3190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Примітка 42</vt:lpstr>
    </vt:vector>
  </TitlesOfParts>
  <Company>1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Примітка 42</dc:title>
  <dc:creator>Belskiy</dc:creator>
  <cp:lastModifiedBy>Бельский</cp:lastModifiedBy>
  <cp:revision>15</cp:revision>
  <cp:lastPrinted>2015-10-15T06:30:00Z</cp:lastPrinted>
  <dcterms:created xsi:type="dcterms:W3CDTF">2015-01-28T14:37:00Z</dcterms:created>
  <dcterms:modified xsi:type="dcterms:W3CDTF">2015-10-15T09:00:00Z</dcterms:modified>
</cp:coreProperties>
</file>